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279</w:t>
      </w:r>
    </w:p>
    <w:p>
      <w:r>
        <w:t>Bundesgericht (BGE), 2007-05-16, DE</w:t>
      </w:r>
    </w:p>
    <w:p>
      <w:r>
        <w:rPr>
          <w:b/>
        </w:rPr>
        <w:t xml:space="preserve">Quelle: </w:t>
      </w:r>
      <w:r>
        <w:t>https://mcp.opencaselaw.ch/entscheid/bge_133 V 279</w:t>
      </w:r>
    </w:p>
    <w:p>
      <w:r>
        <w:t>FR: ATF 133 V 279</w:t>
      </w:r>
    </w:p>
    <w:p>
      <w:r>
        <w:t>IT: DTF 133 V 279</w:t>
      </w:r>
    </w:p>
    <w:p>
      <w:pPr>
        <w:pStyle w:val="Heading2"/>
      </w:pPr>
      <w:r>
        <w:t>Regeste</w:t>
      </w:r>
    </w:p>
    <w:p>
      <w:r>
        <w:t>Regeste Art. 13 Abs. 1 lit. a und Abs. 2, Art. 14 Abs. 1 BVG; Art. 17 BVV 2 (aufgehoben zum 1. Januar 2005): Kurzfristige Herabsetzung des Umwandlungssatzes bei vorzeitiger Pensionierung. Der Versicherte musste damit rechnen, dass in der Zeit bis zum Beginn der vorzeitigen Pensionierung, also während mehreren Jahren, der Umwandlungssatz gesenkt werden könnte. Deshalb kann er sich nicht darauf berufen, dass die grundsätzlich gebotene Information in seinem Fall nicht unter Beachtung einer angemessenen Frist zwischen Mitteilung und Wirksamwerden des geänderten Umwandlungssatzes erfolgte (E. 3.3).</w:t>
      </w:r>
    </w:p>
    <w:p>
      <w:pPr>
        <w:pStyle w:val="Heading2"/>
      </w:pPr>
      <w:r>
        <w:t>Erwägungen</w:t>
      </w:r>
    </w:p>
    <w:p>
      <w:r>
        <w:rPr>
          <w:b/>
        </w:rPr>
        <w:t>E. 1.1</w:t>
      </w:r>
    </w:p>
    <w:p>
      <w:r>
        <w:t>Das Bundesgesetz über das Bundesgericht vom 17. Juni 2005 (BGG; SR 173.110) ist am 1. Januar 2007 in Kraft getreten (AS 2006 S. 1205, 1243). Da der angefochtene Entscheid vorher ergangen ist, richtet sich das Verfahren noch nach OG ( Art. 132 Abs. 1 BGG ; BGE 132 V 393 E. 1.2 S. 395).</w:t>
      </w:r>
    </w:p>
    <w:p>
      <w:r>
        <w:rPr>
          <w:b/>
        </w:rPr>
        <w:t>E. 1.2</w:t>
      </w:r>
    </w:p>
    <w:p>
      <w:r>
        <w:t>Wie die Vorinstanz richtig festgestellt hat, beurteilt sich der Rentenanspruch des heutigen Beschwerdegegners nach den vor Inkrafttreten der 1. BVG-Revision am 1. Januar 2005 gültig gewesenen Bestimmungen. Es betrifft dies insbesondere die Art. 13 BVG über den Zeitpunkt der Entstehung des Anspruchs auf Altersleistungen bei Männern (Abs. 1 lit. a) und die erforderliche Anpassung des Umwandlungssatzes bei reglementarisch vorgesehenen vorzeitigen Altersrücktritten (Abs. 2), Art. 14 BVG über die Berechnung der Altersrente (Abs. 1 Satz 1) und die Bestimmung des Mindestumwandlungssatzes durch den Bundesrat (Abs. 1 Satz 2) sowie Art. 17 BVV 2 (aufgehoben zum 1. Januar 2005) über den ursprünglichen Mindestumwandlungssatz für die Altersrente von 7,2 % des Altersguthabens. Zutreffend sind auch die Ausführungen über die Unterscheidung zwischen obligatorischer und weitergehender beruflicher Vorsorge, über die Bedeutung und Ausgestaltung des Vorsorgereglements sowie über die bei der Auslegung der darin enthaltenen Normen zu beachtenden Grundsätze (vgl. dazu auch BGE 132 V 149 E. 5 Ingress S. 150 f.; BGE 131 V 27 E. 2.1 S. 28 f., je mit Hinweisen auf Lehre und/oder Rechtsprechung). BGE 133 V 279 S. 282</w:t>
      </w:r>
    </w:p>
    <w:p>
      <w:r>
        <w:rPr>
          <w:b/>
        </w:rPr>
        <w:t>E. 1.3</w:t>
      </w:r>
    </w:p>
    <w:p>
      <w:r>
        <w:t>Verwiesen werden kann ferner auf die vorinstanzliche Wiedergabe der im - ab 1. Januar 2001 geltenden - Reglement der Beschwerde führenden Vorsorgeeinrichtung enthaltenen Regelungen bezüglich des ordentlichen Rücktrittsalters am Monatsersten, welcher (bei Männern und Frauen) auf die Vollendung des 60. Altersjahres folgt (Art. 5 Abs. 2), der möglichen vorzeitigen Pensionierung frühestens fünf Jahre vor dem üblichen Rücktrittsalter (Art. 9 Abs. 5) sowie der Berechnung der Altersrente anhand des bis zur Pensionierung geäufneten Sparkapitals (Alterskapital) und des in diesem Zeitpunkt gültigen Umwandlungssatzes (Art. 9 Abs. 2). Korrekt ist schliesslich die Darlegung des reglementarisch vorgeschriebenen Vorgehens bei Änderungen des Vorsorgereglements (Art. 34 Abs. 2) und der Schlüsse, die aus den Nachträgen Nr. 1, 2 und 3 zu dem ab 1. Januar 2001 geltenden Reglement hinsichtlich des ab 1. Januar 2004 aktuellen Umwandlungssatzes zu ziehen sind - oder eben nicht gezogen werden können ("Was fehlt, ist ein Nachtrag für die Herabsetzung des Umwandlungssatzes bei ordentlichem Rücktrittsalter per 1. Januar 2004." [Zitat aus E. 4.3 des vorinstanzlichen Entscheids]; vgl. hiezu nachstehende E. 2.1).</w:t>
      </w:r>
    </w:p>
    <w:p>
      <w:r>
        <w:rPr>
          <w:b/>
        </w:rPr>
        <w:t>E. 2.1</w:t>
      </w:r>
    </w:p>
    <w:p>
      <w:r>
        <w:t>Die Argumentation der Vorinstanz knüpft an den Umstand an, dass der Umwandlungssatz bei Erreichen des Rücktrittsalters von 60 Jahren in Art. 9 Abs. 2 des Vorsorgereglements betraglich genau beziffert wird, die einzelnen Umwandlungssätze für den Fall einer - bis zu fünf Jahre vor dem Rücktrittsalter von 60 Jahren möglichen - vorzeitigen Pensionierung jedoch nicht explizit aufgeführt werden, sondern in Art. 9 Abs. 5 lediglich - in Übereinstimmung mit der Systematik von Gesetz- und Verordnungsgebern (vgl. Art. 13 Abs. 2 und Art. 14 BVG ) - pauschal auf eine versicherungstechnische, aber nicht näher definierte Umwandlung verwiesen wird. In Auslegung des Reglements gelangte das kantonale Gericht zum Schluss, dass die Umwandlungssätze als wesentliche Bestandteile des Vorsorgevertrages jedenfalls denselben Verfahrensvorschriften unterliegen, die auch für die Anpassung des Vorsorgereglements selbst gelten. Es erwog, wenn es der Absicht der zuständigen Vorsorgeorgane entsprach, die Umwandlungssätze direkt von den Vorgaben des Rückversicherers abzuleiten, sei dies jedenfalls für die Versicherten anhand des Vorsorgereglements nicht erkennbar gewesen. Unter Bezugnahme auf dessen Art. 34 Abs. 2, wonach das Reglement durch die Vorsorgekommission unter Vorbehalt der BGE 133 V 279 S. 283 Zustimmung des Stiftungsrates jederzeit im Rahmen der Stiftungsurkunde und des Gesetzes geändert werden kann, stellte das Gericht fest, dass die Nachträge Nr. 1 und 2 nie in das Reglement integriert worden sind und auch in der zum 1. Januar 2004 aufdatierten Version des Reglements keinen Niederschlag gefunden haben; Nachtrag 3 gelte erst ab 1. Januar 2005 und sei daher für die Rechtslage ab 2004 nicht von Belang. Daraus folgerte es, ein Nachtrag für die Herabsetzung des Umwandlungssatzes im ordentlichen Rücktrittsalter von 60 Jahren per 1. Januar 2004 fehle; eine entsprechende Reglementsänderung sei durch die zuständigen Organe nie rechtsgültig beschlossen worden, weshalb der zuvor geltende Umwandlungssatz auch über den 1. Januar 2004 hinaus wirksam geblieben sei; schon weil kein Dokument vorliegt, aus welchem hervorgehen würde, dass eine Revision per 1. Januar 2004 unter Beachtung der Formvorschriften korrekt durchgeführt worden wäre, sei die Klage gutzuheissen.</w:t>
      </w:r>
    </w:p>
    <w:p>
      <w:r>
        <w:rPr>
          <w:b/>
        </w:rPr>
        <w:t>E. 2.2</w:t>
      </w:r>
    </w:p>
    <w:p>
      <w:r>
        <w:t>In einem zweiten Schritt führte das kantonale Gericht aus, die Vorsorgeeinrichtung könne auch aus dem Umstand nichts zu ihren Gunsten ableiten, dass die Umwandlungssätze für vorzeitige Pensionierungen schon früher nicht im Reglement festgehalten waren; gemäss Vertrauensprinzip sei Art. 9 Abs. 5 des Reglements dahingehend zu interpretieren, dass sich die Umwandlungssätze bei vorzeitiger Pensionierung anhand des ordentlichen Umwandlungssatzes nach Art. 9 Abs. 2 berechnen lassen, jedenfalls auf diesem basieren; hätten die einschlägigen Bestimmungen vorsehen wollen, dass die Umwandlungssätze bei vorzeitiger Pensionierung unabhängig vom Umwandlungssatz im ordentlichen Rücktrittsalter revidiert werden können, wäre nach Treu und Glauben zu erwarten gewesen, dass sie einzeln aufgeführt werden; umgekehrt bedeute dies, dass der Umwandlungssatz für das Rücktrittsalter von 55 Jahren so lange Geltung hatte, als auch derjenige für das ordentliche Rücktrittsalter von 60 Jahren keine formgültige Änderung erfuhr. Da - so das kantonale Gericht weiter - die Herabsetzung des Umwandlungssatzes per 1. Januar 2004 nicht den gesetzlichen und reglementarischen Bestimmungen entsprechend erfolgte, sei die Klage gutzuheissen und - nachdem die geltend gemachte Forderung betraglich unbestritten blieb - dem Beschwerdegegner eine monatliche Rente von Fr. 3'750.20 zu gewähren.</w:t>
      </w:r>
    </w:p>
    <w:p>
      <w:r>
        <w:rPr>
          <w:b/>
        </w:rPr>
        <w:t>E. 3</w:t>
      </w:r>
    </w:p>
    <w:p>
      <w:r>
        <w:t>Streitig und als Frage des Bundesrechts ( Art. 104 lit. a OG ) frei zu prüfen ist, ob der heutige Beschwerdegegner entweder gestützt BGE 133 V 279 S. 284 auf die reglementarische Lage oder auf Grund einer besonderen vertraglichen Zusicherung im Zusammenhang mit dem von ihm am 20. Juli 2001 eingereichten und von der Vorsorgeeinrichtung am 22. August 2001 bestätigten Antrag auf Auszahlung der zum 30. April 2004 zu kapitalisierenden Altersleistungen die Anwendung eines Umwandlungssatzes von 6,2 % (im Alter 55) beanspruchen kann, dies anstelle des tieferen von 5,024 %, welchen die Beschwerde führende Vorsorgeeinrichtung angesichts der geänderten Vorgaben ihres Rückversicherers (Y.) der Rentenberechnung zu Grunde zu legen bereit ist.</w:t>
      </w:r>
    </w:p>
    <w:p>
      <w:r>
        <w:rPr>
          <w:b/>
        </w:rPr>
        <w:t>E. 3.1</w:t>
      </w:r>
    </w:p>
    <w:p>
      <w:r>
        <w:t>Im Anschluss an das Gesuch um vorzeitige Pensionierung vom 20. Juli 2001 ist es nicht zu einer vertraglichen Zusicherung gekommen, wonach dereinst unverändert der vom ursprünglichen gesetzlichen Umwandlungssatz von 7,2 % im Alter 65 abgeleitete Satz von 6,2 % angewendet werde. Auch kann der - vom BSV offenbar geteilten - Auffassung der Vorinstanz, es sei diesbezüglich nie zu einer ordnungsgemässen Reglementsänderung gekommen, nicht beigepflichtet werden. Vielmehr sagt Art. 9 Abs. 2 des Reglements unmissverständlich, dass sich die Höhe der Altersrente nach dem für den Versicherten bei Erreichen des Rücktrittsalters vorhandenen Sparkapital (Alterskapital) und dem in diesem Zeitpunkt gültigen Umwandlungssatz richtet (Satz 1); dieser beträgt zur Zeit ... (Satz 2). Schon die vorinstanzliche Annahme, der Umwandlungssatz bei vorzeitigem Altersrücktritt im Sinne von Art. 9 Abs. 5 des Reglements basiere auf dem Umwandlungssatz bei ordentlichem Rücktritt nach Art. 9 Abs. 2 des Reglements, ist fraglich. Der Umwandlungssatz bei ordentlichem Rücktritt kann vom versicherungstechnisch richtigen Wert abweichen (vgl. BGE 130 II 258 E. 3.2.3 S. 265 f.). Ein vorzeitiger Altersrücktritt bedingt demgegenüber einen versicherungstechnisch richtigen Umwandlungssatz. Laut Art. 9 Abs. 2 des Reglements der Beschwerde führenden Vorsorgeeinrichtung, gültig ab 1. Januar 2001 mit integrierten Nachträgen (Stand 1. Januar 2004), beträgt der Umwandlungssatz für Männer im - bei ihr bei 60 Jahren liegenden - ordentlichen Rücktrittsalter 5,820 %. Dies entspricht dem Umwandlungssatz für das Rücktrittsalter von 55 Jahren von 5,024 %. Die Anpassung der Umwandlungssätze an die Verhältnisse auf dem Finanzmarkt stellt die dem Beitragsprimat inhärente Vorgehensweise der Vorsorgeeinrichtungen dar. Deswegen und weil der Beschwerdegegner schon auf Grund des Reglements hätte erkennen BGE 133 V 279 S. 285 müssen, dass seine Vorsorgeeinrichtung nur den Sparprozess autonom führt, hingegen sämtliche Risiken bei der Y. rückversichert, konnte er nicht von einem unabänderbaren Umwandlungssatz ausgehen. Die Risikoabdeckung bei der Y. hat zur Folge, dass diese versicherungsmässige Lösungen erarbeitet und das notwendige Vorgehen bestimmt. Die Sammelstiftung ist nur ein im Hinblick auf den Numerus clausus der Rechtsformen nach Art. 48 Abs. 2 BVG zwischen die anschlusspflichtige Arbeitgeberin und die Versicherungsgesellschaft gestelltes Instrument, das es erst ermöglicht, die berufliche Vorsorge nach den Vorschriften des BVG durchzuführen. Daher sind die bei der Sammelstiftung versicherten Personen an Entscheide des Rückversicherers, welche die Vorsorgeeinrichtung in aller Regel übernehmen muss, gebunden (vgl. hiezu BGE 127 V 377 , insbesondere E. 5c/bb und 5c/cc S. 385 ff.). Gegen die von der Vorsorgeeinrichtung vorgesehene Herabsetzung des Umwandlungssatzes entsprechend den Vorgaben ihres Rückversicherers ist daher grundsätzlich nichts einzuwenden.</w:t>
      </w:r>
    </w:p>
    <w:p>
      <w:r>
        <w:rPr>
          <w:b/>
        </w:rPr>
        <w:t>E. 3.2</w:t>
      </w:r>
    </w:p>
    <w:p>
      <w:r>
        <w:t>Zu verwerfen ist die vorinstanzliche Argumentation auch insoweit, als sie den Standpunkt des heutigen Beschwerdegegners gestützt auf den Grundsatz von Treu und Glauben schützen möchte. Zunächst hat die Vorsorgeeinrichtung nach Einreichung des Gesuchs um vorzeitige Pensionierung vom 20. Juli 2001 nicht nur keine vertragliche Zusicherung eines bestimmten Umwandlungssatzes abgegeben (E. 3.1 hievor), sondern auch sonst keine vertrauensbildenden Schritte unternommen, welche die nunmehrige Erwartung des Beschwerdegegners hätten begründen können, wonach die Berechnung der Altersrente auch im erst drei Jahre später eintretenden Pensionierungszeitpunkt noch unter Anwendung des im Jahre 2001 gültig gewesenen Umwandlungssatzes erfolgen werde. Einzig dass die jeweiligen Umwandlungssätze bei vorzeitigen Altersrücktritten im Reglement der Vorsorgeeinrichtung - anders als heute im Nachtrag Nr. 3 zum Reglement vom 1. Januar 2001, gültig ab 1. Januar 2005 - noch nicht einzeln aufgeführt waren, bildete jedenfalls keine hinreichende Vertrauensgrundlage, um aus Art. 9 Abs. 5 des Reglements abzuleiten, der ordentliche Umwandlungssatz in Art. 9 Abs. 2 werde auch Grundlage für die Ermittlung des bei vorzeitiger Pensionierung zum Tragen kommenden Umwandlungssatzes bilden. Dafür dass der Beschwerdegegner von irgendeiner kompetenten und zuständigen Stelle in diesem Sinne informiert worden wäre, bestehen keine Anhaltspunkte. Entsprechendes wird denn auch nicht geltend gemacht. BGE 133 V 279 S. 286</w:t>
      </w:r>
    </w:p>
    <w:p>
      <w:r>
        <w:rPr>
          <w:b/>
        </w:rPr>
        <w:t>E. 3.3</w:t>
      </w:r>
    </w:p>
    <w:p>
      <w:r>
        <w:t>Ist die Anpassung des Umwandlungssatzes als solche nicht zu beanstanden (E. 3.1 hievor) und lässt sich auch gegen die Art und Weise der Vornahme der entsprechenden Reglementsänderung durch die nunmehr Beschwerde führende Vorsorgeeinrichtung (E. 3.2 hievor) grundsätzlich nichts einwenden, stellt sich speziell noch die Frage, ob eine derart weitreichende, die Ansprüche des Beschwerdegegners einschneidend tangierende Vorkehr rechtzeitig in angemessener Form bekannt gegeben wurde. Auch dies gehört zum rechtsgenüglichen Vollzug der zunächst von der Rückversicherung in die Wege geleiteten und danach von den Organen der Vorsorgeeinrichtung beschlossenen Senkung des Umwandlungssatzes. Die Vorsorgeeinrichtung hat den Beschwerdegegner am 23. März 2004 - rund einen Monat vor der geplanten und wohl auch schon vorbereiteten Pensionierung - mittels eines kurzen E-mails über die zu erwartenden Leistungen und insbesondere über den herabgesetzten Umwandlungssatz informiert. Dem Beschwerdegegner verblieb damit kaum mehr eine Möglichkeit, sich den für ihn neuen Gegebenheiten anzupassen, zumal seine Stelle im Zeitpunkt der Zusendung des E-mails vom 23. März 2004 aller Wahrscheinlichkeit nach bereits gekündigt war, sodass geeignete Vorkehren, um allenfalls absehbaren finanziellen Engpässen wirksam zu begegnen oder gar sich abzeichnende Notlagen abzuwenden, faktisch ausgeschlossen waren. Obschon eine Vorsorgeeinrichtung derart plötzliche, in aller Regel überraschende Leistungseinschränkungen und damit verbundene, für einzelne Versicherte möglicherweise gar existenziell bedrohliche Situationen nach Möglichkeit vermeiden sollte, lässt sich die Bekanntgabe der Senkung des Umwandlungssatzes in zeitlicher Hinsicht nicht beanstanden. Der Beschwerdegegner musste von Anfang an damit rechnen, dass in der langen Zeit bis zur vorzeitigen Pensionierung - und damit während mehrerer Jahre - der Umwandlungssatz gesenkt werden könnte. Deshalb kann er sich nicht darauf berufen, dass die grundsätzlich gebotene Information nicht unter Beachtung einer angemessenen Frist zwischen Mitteilung und Wirksamwerden des geänderten Umwandlungssatzes erfolgte. Die von der Vorsorgeeinrichtung offerierte Auszahlung des akkumulierten Alterskapitals - trotz Fehlens eines entsprechenden Antrags - ist in dieser Lage als Entgegenkommen zu bezeichnen, mit deren Annahme der Beschwerdegegner seinen bisherigen versicherungsrechtlichen Leistungsstatus hätte wahren können.</w:t>
      </w:r>
    </w:p>
    <w:p>
      <w:r>
        <w:rPr>
          <w:b/>
        </w:rPr>
        <w:t>E. 3.4</w:t>
      </w:r>
    </w:p>
    <w:p>
      <w:r>
        <w:t>Bedenken erweckt allenfalls der Umstand, dass die Vorsorgeeinrichtung - wie auch der Rückversicherer - übergangsrechtlich BGE 133 V 279 S. 287 vorsehen, den herabgesetzten tieferen Umwandlungssatz nur gerade bei Versicherten sofort anzuwenden, welche sich vorzeitig pensionieren lassen, während bei ordentlichen Altersrücktritten zumindest im Jahre 2004 noch der frühere Umwandlungssatz beibehalten wird. Die auch im Bereich der beruflichen Vorsorge gebotene Gleichbehandlung der Destinatäre (vgl. BGE 132 V 149 E. 5.2.4 und 5.2.5 S. 153 ff. mit Hinweisen) steht dieser übergangsrechtlichen Ordnung jedoch auch bezüglich der Anwendung des bisherigen höheren Umwandlungssatzes im Jahre 2004 auf ordentlich, nicht aber auf vorzeitig in Pension gehende Personen nicht entgegen. Wie die Erkundigungen des Gerichts bei der Beschwerde führenden Vorsorgeeinrichtung ergeben haben, galt der bisherige Umwandlungssatz im Jahre 2004 übergangsrechtlich nur für Pensionierungen in dem nach Art. 13 BVG ordentlichen Rücktrittsalter von 65 Jahren, nicht aber für Personen, welche sich in dem gemäss Reglement der Beschwerde führenden Sammelstiftung als Pensionskasse der Arbeitgeberfirma des Beschwerdegegners geltenden ordentlichen Rücktrittsalter von 60 Jahren pensionieren liessen. Auch für diese galt - wie bereits erwähnt (E. 3.1 hievor) - im Jahr 2004 nicht mehr der bisherige Umwandlungssatz von 6,2 %, sondern der versicherungsmathematisch angepasste tiefere Umwandlungssatz von 5,820 %. Entsprechend wird mit dem für das Pensionierungsalter von 55 Jahren auf 5,024 % herabgesetzten Umwandlungssatz keine Bevorzugung der im ordentlichen reglementarischen Rücktrittsalter von 60 Jahren Pensionierten gegenüber denjenigen, die einen vorzeitigen Altersrücktritt bereits geplant und die notwendigen Schritte zu dessen Umsetzung vorgenommen haben, geschaffen. Abgesehen davon hatte die Beschwerde führende Vorsorgeeinrichtung im Jahre 2004 weder Altersrücktritte im Alter von 60 Jahren noch solche im Alter von 65 Jahren zu verzeichnen, womit eine Ungleichbehandlung der Destinatäre auch faktisch nicht in Betracht fallen konnte. Der Beschwerdegegner kann daher auch unter Berufung auf das Prinzip der Gleichbehandlung der Destinatäre keinen Anspruch auf eine nach Massgabe des für ihn bis Ende 2003 geltenden früheren Umwandlungssatzes von 6,2 % berechnete Altersrente geltend machen.</w:t>
      </w:r>
    </w:p>
    <w:p>
      <w:r>
        <w:rPr>
          <w:b/>
        </w:rPr>
        <w:t>E. 4</w:t>
      </w:r>
    </w:p>
    <w:p>
      <w:r>
        <w:t>Da es um die Bewilligung oder Verweigerung von Versicherungsleistungen ging, fallen keine Verfahrenskosten an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